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C99A6" w14:textId="66BCA39C" w:rsidR="0069478F" w:rsidRPr="00092ACB" w:rsidRDefault="003B7BF5" w:rsidP="00092ACB">
      <w:pPr>
        <w:pStyle w:val="ListParagraph"/>
        <w:widowControl/>
        <w:numPr>
          <w:ilvl w:val="0"/>
          <w:numId w:val="1"/>
        </w:numPr>
        <w:tabs>
          <w:tab w:val="num" w:pos="360"/>
        </w:tabs>
        <w:autoSpaceDE/>
        <w:autoSpaceDN/>
        <w:ind w:left="357" w:right="0" w:hanging="357"/>
      </w:pPr>
      <w:r>
        <w:rPr>
          <w:spacing w:val="-4"/>
        </w:rPr>
        <w:t xml:space="preserve">In 2017, the </w:t>
      </w:r>
      <w:r>
        <w:rPr>
          <w:spacing w:val="-3"/>
        </w:rPr>
        <w:t>then</w:t>
      </w:r>
      <w:r>
        <w:rPr>
          <w:spacing w:val="-12"/>
        </w:rPr>
        <w:t xml:space="preserve"> </w:t>
      </w:r>
      <w:r>
        <w:rPr>
          <w:spacing w:val="-4"/>
        </w:rPr>
        <w:t>Queensland</w:t>
      </w:r>
      <w:r>
        <w:rPr>
          <w:spacing w:val="-10"/>
        </w:rPr>
        <w:t xml:space="preserve"> </w:t>
      </w:r>
      <w:r>
        <w:rPr>
          <w:spacing w:val="-4"/>
        </w:rPr>
        <w:t>Anti-Discrimination</w:t>
      </w:r>
      <w:r>
        <w:rPr>
          <w:spacing w:val="-12"/>
        </w:rPr>
        <w:t xml:space="preserve"> </w:t>
      </w:r>
      <w:r>
        <w:rPr>
          <w:spacing w:val="-4"/>
        </w:rPr>
        <w:t>Commission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3"/>
        </w:rPr>
        <w:t>the</w:t>
      </w:r>
      <w:r>
        <w:rPr>
          <w:spacing w:val="-12"/>
        </w:rPr>
        <w:t xml:space="preserve"> </w:t>
      </w:r>
      <w:r>
        <w:rPr>
          <w:spacing w:val="-3"/>
        </w:rPr>
        <w:t>Queensland</w:t>
      </w:r>
      <w:r>
        <w:rPr>
          <w:spacing w:val="-13"/>
        </w:rPr>
        <w:t xml:space="preserve"> </w:t>
      </w:r>
      <w:r>
        <w:rPr>
          <w:spacing w:val="-4"/>
        </w:rPr>
        <w:t>Aboriginal</w:t>
      </w:r>
      <w:r>
        <w:rPr>
          <w:spacing w:val="-13"/>
        </w:rPr>
        <w:t xml:space="preserve"> </w:t>
      </w:r>
      <w:r>
        <w:rPr>
          <w:spacing w:val="-3"/>
        </w:rPr>
        <w:t xml:space="preserve">and </w:t>
      </w:r>
      <w:r>
        <w:rPr>
          <w:spacing w:val="-4"/>
        </w:rPr>
        <w:t xml:space="preserve">Islander </w:t>
      </w:r>
      <w:r>
        <w:rPr>
          <w:spacing w:val="-3"/>
        </w:rPr>
        <w:t xml:space="preserve">Health </w:t>
      </w:r>
      <w:r>
        <w:rPr>
          <w:spacing w:val="-4"/>
        </w:rPr>
        <w:t xml:space="preserve">Council (QAIHC) </w:t>
      </w:r>
      <w:r w:rsidR="0002439A">
        <w:rPr>
          <w:spacing w:val="-3"/>
        </w:rPr>
        <w:t xml:space="preserve">released </w:t>
      </w:r>
      <w:r w:rsidR="00833AFE">
        <w:t xml:space="preserve">the </w:t>
      </w:r>
      <w:r w:rsidR="00B038FF">
        <w:rPr>
          <w:spacing w:val="-4"/>
        </w:rPr>
        <w:t xml:space="preserve">report </w:t>
      </w:r>
      <w:r w:rsidR="00833AFE">
        <w:rPr>
          <w:i/>
          <w:spacing w:val="-4"/>
        </w:rPr>
        <w:t xml:space="preserve">Addressing Institutional Barriers </w:t>
      </w:r>
      <w:r w:rsidR="00833AFE">
        <w:rPr>
          <w:i/>
        </w:rPr>
        <w:t xml:space="preserve">to </w:t>
      </w:r>
      <w:r w:rsidR="00833AFE">
        <w:rPr>
          <w:i/>
          <w:spacing w:val="-4"/>
        </w:rPr>
        <w:t xml:space="preserve">Health Equity </w:t>
      </w:r>
      <w:r w:rsidR="00833AFE">
        <w:rPr>
          <w:i/>
          <w:spacing w:val="-3"/>
        </w:rPr>
        <w:t xml:space="preserve">for </w:t>
      </w:r>
      <w:r w:rsidR="00833AFE">
        <w:rPr>
          <w:i/>
          <w:spacing w:val="-4"/>
        </w:rPr>
        <w:t xml:space="preserve">Aboriginal </w:t>
      </w:r>
      <w:r w:rsidR="00833AFE">
        <w:rPr>
          <w:i/>
        </w:rPr>
        <w:t xml:space="preserve">and </w:t>
      </w:r>
      <w:r w:rsidR="00833AFE">
        <w:rPr>
          <w:i/>
          <w:spacing w:val="-3"/>
        </w:rPr>
        <w:t xml:space="preserve">Torres </w:t>
      </w:r>
      <w:r w:rsidR="00833AFE">
        <w:rPr>
          <w:i/>
          <w:spacing w:val="-4"/>
        </w:rPr>
        <w:t xml:space="preserve">Strait Islander People </w:t>
      </w:r>
      <w:r w:rsidR="00833AFE">
        <w:rPr>
          <w:i/>
          <w:spacing w:val="-3"/>
        </w:rPr>
        <w:t xml:space="preserve">in </w:t>
      </w:r>
      <w:r w:rsidR="00833AFE">
        <w:rPr>
          <w:i/>
          <w:spacing w:val="-4"/>
        </w:rPr>
        <w:t xml:space="preserve">Queensland’s Public Hospital </w:t>
      </w:r>
      <w:r w:rsidR="00833AFE">
        <w:rPr>
          <w:i/>
          <w:spacing w:val="-3"/>
        </w:rPr>
        <w:t xml:space="preserve">and Health </w:t>
      </w:r>
      <w:r w:rsidR="00833AFE">
        <w:rPr>
          <w:i/>
          <w:spacing w:val="-4"/>
        </w:rPr>
        <w:t>Services</w:t>
      </w:r>
      <w:r w:rsidR="004D34C1">
        <w:rPr>
          <w:iCs/>
          <w:spacing w:val="-4"/>
        </w:rPr>
        <w:t xml:space="preserve"> (the Health Equity Report)</w:t>
      </w:r>
      <w:r w:rsidR="00833AFE">
        <w:rPr>
          <w:spacing w:val="-3"/>
        </w:rPr>
        <w:t>.</w:t>
      </w:r>
    </w:p>
    <w:p w14:paraId="7D4E52D6" w14:textId="04A631C8" w:rsidR="003B7BF5" w:rsidRPr="00092ACB" w:rsidRDefault="003B7BF5" w:rsidP="00092ACB">
      <w:pPr>
        <w:pStyle w:val="ListParagraph"/>
        <w:widowControl/>
        <w:numPr>
          <w:ilvl w:val="0"/>
          <w:numId w:val="1"/>
        </w:numPr>
        <w:tabs>
          <w:tab w:val="num" w:pos="360"/>
        </w:tabs>
        <w:autoSpaceDE/>
        <w:autoSpaceDN/>
        <w:spacing w:before="240"/>
        <w:ind w:left="357" w:right="0" w:hanging="357"/>
      </w:pPr>
      <w:r w:rsidRPr="00092ACB">
        <w:rPr>
          <w:spacing w:val="-4"/>
        </w:rPr>
        <w:t xml:space="preserve">Queensland Health </w:t>
      </w:r>
      <w:r w:rsidRPr="00092ACB">
        <w:rPr>
          <w:spacing w:val="-3"/>
        </w:rPr>
        <w:t>has</w:t>
      </w:r>
      <w:r w:rsidR="0002439A" w:rsidRPr="00092ACB">
        <w:rPr>
          <w:spacing w:val="-3"/>
        </w:rPr>
        <w:t xml:space="preserve"> since</w:t>
      </w:r>
      <w:r w:rsidRPr="00092ACB">
        <w:rPr>
          <w:spacing w:val="-3"/>
        </w:rPr>
        <w:t xml:space="preserve"> </w:t>
      </w:r>
      <w:r w:rsidRPr="00092ACB">
        <w:rPr>
          <w:spacing w:val="-4"/>
        </w:rPr>
        <w:t xml:space="preserve">introduced </w:t>
      </w:r>
      <w:r>
        <w:t xml:space="preserve">a </w:t>
      </w:r>
      <w:r w:rsidRPr="00092ACB">
        <w:rPr>
          <w:spacing w:val="-4"/>
        </w:rPr>
        <w:t xml:space="preserve">number </w:t>
      </w:r>
      <w:r w:rsidRPr="00092ACB">
        <w:rPr>
          <w:spacing w:val="-3"/>
        </w:rPr>
        <w:t xml:space="preserve">of </w:t>
      </w:r>
      <w:r w:rsidRPr="00092ACB">
        <w:rPr>
          <w:spacing w:val="-4"/>
        </w:rPr>
        <w:t xml:space="preserve">substantial policy, program </w:t>
      </w:r>
      <w:r w:rsidRPr="00092ACB">
        <w:rPr>
          <w:spacing w:val="-3"/>
        </w:rPr>
        <w:t xml:space="preserve">and </w:t>
      </w:r>
      <w:r w:rsidRPr="00092ACB">
        <w:rPr>
          <w:spacing w:val="-4"/>
        </w:rPr>
        <w:t>service delivery</w:t>
      </w:r>
      <w:r w:rsidRPr="00092ACB">
        <w:rPr>
          <w:spacing w:val="53"/>
        </w:rPr>
        <w:t xml:space="preserve"> </w:t>
      </w:r>
      <w:r w:rsidRPr="00092ACB">
        <w:rPr>
          <w:spacing w:val="-4"/>
        </w:rPr>
        <w:t xml:space="preserve">reforms </w:t>
      </w:r>
      <w:r>
        <w:t xml:space="preserve">to </w:t>
      </w:r>
      <w:r w:rsidRPr="00092ACB">
        <w:rPr>
          <w:spacing w:val="-4"/>
        </w:rPr>
        <w:t xml:space="preserve">support Aboriginal </w:t>
      </w:r>
      <w:r w:rsidRPr="00092ACB">
        <w:rPr>
          <w:spacing w:val="-3"/>
        </w:rPr>
        <w:t xml:space="preserve">and Torres </w:t>
      </w:r>
      <w:r w:rsidRPr="00092ACB">
        <w:rPr>
          <w:spacing w:val="-4"/>
        </w:rPr>
        <w:t xml:space="preserve">Strait Islander peoples achieve </w:t>
      </w:r>
      <w:r w:rsidRPr="00092ACB">
        <w:rPr>
          <w:spacing w:val="-3"/>
        </w:rPr>
        <w:t xml:space="preserve">their </w:t>
      </w:r>
      <w:r w:rsidRPr="00092ACB">
        <w:rPr>
          <w:spacing w:val="-4"/>
        </w:rPr>
        <w:t>health aspirations</w:t>
      </w:r>
      <w:r w:rsidR="0002439A" w:rsidRPr="00092ACB">
        <w:rPr>
          <w:spacing w:val="-4"/>
        </w:rPr>
        <w:t>.</w:t>
      </w:r>
      <w:r w:rsidRPr="00092ACB">
        <w:rPr>
          <w:spacing w:val="-4"/>
        </w:rPr>
        <w:t xml:space="preserve"> </w:t>
      </w:r>
    </w:p>
    <w:p w14:paraId="3A0C99A8" w14:textId="3B186CE3" w:rsidR="0069478F" w:rsidRPr="00092ACB" w:rsidRDefault="00833AFE" w:rsidP="00092ACB">
      <w:pPr>
        <w:pStyle w:val="ListParagraph"/>
        <w:widowControl/>
        <w:numPr>
          <w:ilvl w:val="0"/>
          <w:numId w:val="1"/>
        </w:numPr>
        <w:tabs>
          <w:tab w:val="num" w:pos="360"/>
        </w:tabs>
        <w:autoSpaceDE/>
        <w:autoSpaceDN/>
        <w:spacing w:before="240"/>
        <w:ind w:left="357" w:right="0" w:hanging="357"/>
      </w:pPr>
      <w:r w:rsidRPr="00092ACB">
        <w:rPr>
          <w:spacing w:val="-3"/>
        </w:rPr>
        <w:t xml:space="preserve">Two of the most </w:t>
      </w:r>
      <w:r w:rsidRPr="00092ACB">
        <w:rPr>
          <w:spacing w:val="-4"/>
        </w:rPr>
        <w:t xml:space="preserve">significant reforms introduced </w:t>
      </w:r>
      <w:r w:rsidRPr="00092ACB">
        <w:rPr>
          <w:spacing w:val="-3"/>
        </w:rPr>
        <w:t xml:space="preserve">by </w:t>
      </w:r>
      <w:r w:rsidRPr="00092ACB">
        <w:rPr>
          <w:spacing w:val="-4"/>
        </w:rPr>
        <w:t xml:space="preserve">Queensland </w:t>
      </w:r>
      <w:r w:rsidRPr="00092ACB">
        <w:rPr>
          <w:spacing w:val="-3"/>
        </w:rPr>
        <w:t xml:space="preserve">Health since the </w:t>
      </w:r>
      <w:r w:rsidRPr="00092ACB">
        <w:rPr>
          <w:spacing w:val="-4"/>
        </w:rPr>
        <w:t xml:space="preserve">release </w:t>
      </w:r>
      <w:r w:rsidRPr="00092ACB">
        <w:rPr>
          <w:spacing w:val="-3"/>
        </w:rPr>
        <w:t xml:space="preserve">of the </w:t>
      </w:r>
      <w:r w:rsidRPr="00092ACB">
        <w:rPr>
          <w:spacing w:val="-4"/>
        </w:rPr>
        <w:t xml:space="preserve">2017 </w:t>
      </w:r>
      <w:r w:rsidRPr="00092ACB">
        <w:rPr>
          <w:spacing w:val="-3"/>
        </w:rPr>
        <w:t xml:space="preserve">report </w:t>
      </w:r>
      <w:r w:rsidRPr="00092ACB">
        <w:rPr>
          <w:spacing w:val="-4"/>
        </w:rPr>
        <w:t xml:space="preserve">include amendments </w:t>
      </w:r>
      <w:r>
        <w:t xml:space="preserve">to </w:t>
      </w:r>
      <w:r w:rsidRPr="00092ACB">
        <w:rPr>
          <w:spacing w:val="-3"/>
        </w:rPr>
        <w:t xml:space="preserve">the </w:t>
      </w:r>
      <w:r w:rsidRPr="00092ACB">
        <w:rPr>
          <w:i/>
          <w:spacing w:val="-4"/>
        </w:rPr>
        <w:t xml:space="preserve">Hospital </w:t>
      </w:r>
      <w:r w:rsidRPr="00092ACB">
        <w:rPr>
          <w:i/>
          <w:spacing w:val="-3"/>
        </w:rPr>
        <w:t xml:space="preserve">and Health </w:t>
      </w:r>
      <w:r w:rsidRPr="00092ACB">
        <w:rPr>
          <w:i/>
          <w:spacing w:val="-4"/>
        </w:rPr>
        <w:t xml:space="preserve">Boards Act </w:t>
      </w:r>
      <w:r w:rsidRPr="00092ACB">
        <w:rPr>
          <w:i/>
          <w:spacing w:val="-3"/>
        </w:rPr>
        <w:t xml:space="preserve">2011 </w:t>
      </w:r>
      <w:r>
        <w:t xml:space="preserve">to </w:t>
      </w:r>
      <w:r w:rsidRPr="00092ACB">
        <w:rPr>
          <w:spacing w:val="-3"/>
        </w:rPr>
        <w:t xml:space="preserve">require </w:t>
      </w:r>
      <w:r w:rsidRPr="00092ACB">
        <w:rPr>
          <w:spacing w:val="-4"/>
        </w:rPr>
        <w:t xml:space="preserve">Hospital </w:t>
      </w:r>
      <w:r w:rsidRPr="00092ACB">
        <w:rPr>
          <w:spacing w:val="-3"/>
        </w:rPr>
        <w:t xml:space="preserve">and Health </w:t>
      </w:r>
      <w:r w:rsidRPr="00092ACB">
        <w:rPr>
          <w:spacing w:val="-4"/>
        </w:rPr>
        <w:t xml:space="preserve">Services (HHSs) </w:t>
      </w:r>
      <w:r>
        <w:t xml:space="preserve">to </w:t>
      </w:r>
      <w:r w:rsidRPr="00092ACB">
        <w:rPr>
          <w:spacing w:val="-4"/>
        </w:rPr>
        <w:t xml:space="preserve">develop </w:t>
      </w:r>
      <w:r w:rsidRPr="00092ACB">
        <w:rPr>
          <w:spacing w:val="-3"/>
        </w:rPr>
        <w:t xml:space="preserve">and </w:t>
      </w:r>
      <w:r w:rsidRPr="00092ACB">
        <w:rPr>
          <w:spacing w:val="-4"/>
        </w:rPr>
        <w:t xml:space="preserve">implement </w:t>
      </w:r>
      <w:r w:rsidRPr="00092ACB">
        <w:rPr>
          <w:spacing w:val="-3"/>
        </w:rPr>
        <w:t xml:space="preserve">Health </w:t>
      </w:r>
      <w:r w:rsidRPr="00092ACB">
        <w:rPr>
          <w:spacing w:val="-4"/>
        </w:rPr>
        <w:t xml:space="preserve">Equity Strategies </w:t>
      </w:r>
      <w:r>
        <w:t xml:space="preserve">and </w:t>
      </w:r>
      <w:r w:rsidRPr="00092ACB">
        <w:rPr>
          <w:spacing w:val="-3"/>
        </w:rPr>
        <w:t xml:space="preserve">have </w:t>
      </w:r>
      <w:r w:rsidRPr="00092ACB">
        <w:rPr>
          <w:spacing w:val="-4"/>
        </w:rPr>
        <w:t xml:space="preserve">First Nations representation </w:t>
      </w:r>
      <w:r>
        <w:t xml:space="preserve">on </w:t>
      </w:r>
      <w:r w:rsidRPr="00092ACB">
        <w:rPr>
          <w:spacing w:val="-4"/>
        </w:rPr>
        <w:t xml:space="preserve">their boards </w:t>
      </w:r>
      <w:r>
        <w:t xml:space="preserve">and the </w:t>
      </w:r>
      <w:r w:rsidRPr="00092ACB">
        <w:rPr>
          <w:spacing w:val="-4"/>
        </w:rPr>
        <w:t xml:space="preserve">inaugural appointment </w:t>
      </w:r>
      <w:r w:rsidRPr="00092ACB">
        <w:rPr>
          <w:spacing w:val="-3"/>
        </w:rPr>
        <w:t xml:space="preserve">of </w:t>
      </w:r>
      <w:r>
        <w:t xml:space="preserve">the </w:t>
      </w:r>
      <w:r w:rsidRPr="00092ACB">
        <w:rPr>
          <w:spacing w:val="-4"/>
        </w:rPr>
        <w:t xml:space="preserve">Chief Aboriginal </w:t>
      </w:r>
      <w:r>
        <w:t xml:space="preserve">and </w:t>
      </w:r>
      <w:r w:rsidRPr="00092ACB">
        <w:rPr>
          <w:spacing w:val="-3"/>
        </w:rPr>
        <w:t xml:space="preserve">Torres </w:t>
      </w:r>
      <w:r w:rsidRPr="00092ACB">
        <w:rPr>
          <w:spacing w:val="-4"/>
        </w:rPr>
        <w:t xml:space="preserve">Strait Islander Health Officer </w:t>
      </w:r>
      <w:r>
        <w:t xml:space="preserve">in </w:t>
      </w:r>
      <w:r w:rsidRPr="00092ACB">
        <w:rPr>
          <w:spacing w:val="-3"/>
        </w:rPr>
        <w:t xml:space="preserve">2019 </w:t>
      </w:r>
      <w:r>
        <w:t xml:space="preserve">to </w:t>
      </w:r>
      <w:r w:rsidRPr="00092ACB">
        <w:rPr>
          <w:spacing w:val="-3"/>
        </w:rPr>
        <w:t xml:space="preserve">drive </w:t>
      </w:r>
      <w:r w:rsidRPr="00092ACB">
        <w:rPr>
          <w:spacing w:val="-4"/>
        </w:rPr>
        <w:t xml:space="preserve">improvements across </w:t>
      </w:r>
      <w:r w:rsidRPr="00092ACB">
        <w:rPr>
          <w:spacing w:val="-3"/>
        </w:rPr>
        <w:t xml:space="preserve">the </w:t>
      </w:r>
      <w:r w:rsidRPr="00092ACB">
        <w:rPr>
          <w:spacing w:val="-4"/>
        </w:rPr>
        <w:t>health</w:t>
      </w:r>
      <w:r w:rsidRPr="00092ACB">
        <w:rPr>
          <w:spacing w:val="-24"/>
        </w:rPr>
        <w:t xml:space="preserve"> </w:t>
      </w:r>
      <w:r w:rsidRPr="00092ACB">
        <w:rPr>
          <w:spacing w:val="-4"/>
        </w:rPr>
        <w:t>system.</w:t>
      </w:r>
    </w:p>
    <w:p w14:paraId="3A0C99AA" w14:textId="7FE8260D" w:rsidR="0069478F" w:rsidRPr="00092ACB" w:rsidRDefault="00833AFE" w:rsidP="00092ACB">
      <w:pPr>
        <w:pStyle w:val="ListParagraph"/>
        <w:widowControl/>
        <w:numPr>
          <w:ilvl w:val="0"/>
          <w:numId w:val="1"/>
        </w:numPr>
        <w:tabs>
          <w:tab w:val="num" w:pos="360"/>
        </w:tabs>
        <w:autoSpaceDE/>
        <w:autoSpaceDN/>
        <w:spacing w:before="240"/>
        <w:ind w:left="357" w:right="0" w:hanging="357"/>
      </w:pPr>
      <w:r w:rsidRPr="00092ACB">
        <w:rPr>
          <w:spacing w:val="-3"/>
        </w:rPr>
        <w:t xml:space="preserve">Since </w:t>
      </w:r>
      <w:r w:rsidRPr="00092ACB">
        <w:rPr>
          <w:spacing w:val="-4"/>
        </w:rPr>
        <w:t xml:space="preserve">commencing </w:t>
      </w:r>
      <w:r>
        <w:t xml:space="preserve">in </w:t>
      </w:r>
      <w:r w:rsidRPr="00092ACB">
        <w:rPr>
          <w:spacing w:val="-3"/>
        </w:rPr>
        <w:t xml:space="preserve">2019, the </w:t>
      </w:r>
      <w:r w:rsidRPr="00092ACB">
        <w:rPr>
          <w:spacing w:val="-4"/>
        </w:rPr>
        <w:t xml:space="preserve">Chief Aboriginal </w:t>
      </w:r>
      <w:r>
        <w:t xml:space="preserve">and </w:t>
      </w:r>
      <w:r w:rsidRPr="00092ACB">
        <w:rPr>
          <w:spacing w:val="-3"/>
        </w:rPr>
        <w:t xml:space="preserve">Torres </w:t>
      </w:r>
      <w:r w:rsidRPr="00092ACB">
        <w:rPr>
          <w:spacing w:val="-4"/>
        </w:rPr>
        <w:t xml:space="preserve">Strait Islander </w:t>
      </w:r>
      <w:r w:rsidRPr="00092ACB">
        <w:rPr>
          <w:spacing w:val="-3"/>
        </w:rPr>
        <w:t xml:space="preserve">Health </w:t>
      </w:r>
      <w:r w:rsidRPr="00092ACB">
        <w:rPr>
          <w:spacing w:val="-4"/>
        </w:rPr>
        <w:t xml:space="preserve">Officer </w:t>
      </w:r>
      <w:r>
        <w:t xml:space="preserve">has </w:t>
      </w:r>
      <w:r w:rsidRPr="00092ACB">
        <w:rPr>
          <w:spacing w:val="-3"/>
        </w:rPr>
        <w:t xml:space="preserve">been </w:t>
      </w:r>
      <w:r w:rsidRPr="00092ACB">
        <w:rPr>
          <w:spacing w:val="-4"/>
        </w:rPr>
        <w:t xml:space="preserve">championing ‘First Nations </w:t>
      </w:r>
      <w:r w:rsidRPr="00092ACB">
        <w:rPr>
          <w:spacing w:val="-3"/>
        </w:rPr>
        <w:t xml:space="preserve">health equity’ </w:t>
      </w:r>
      <w:r>
        <w:t xml:space="preserve">as a </w:t>
      </w:r>
      <w:r w:rsidRPr="00092ACB">
        <w:rPr>
          <w:spacing w:val="-4"/>
        </w:rPr>
        <w:t xml:space="preserve">unifying vision </w:t>
      </w:r>
      <w:r>
        <w:t xml:space="preserve">to </w:t>
      </w:r>
      <w:r w:rsidRPr="00092ACB">
        <w:rPr>
          <w:spacing w:val="-4"/>
        </w:rPr>
        <w:t xml:space="preserve">galvanise renewed effort </w:t>
      </w:r>
      <w:r w:rsidRPr="00092ACB">
        <w:rPr>
          <w:spacing w:val="-3"/>
        </w:rPr>
        <w:t xml:space="preserve">across the health </w:t>
      </w:r>
      <w:r w:rsidRPr="00092ACB">
        <w:rPr>
          <w:spacing w:val="-4"/>
        </w:rPr>
        <w:t xml:space="preserve">system </w:t>
      </w:r>
      <w:r>
        <w:t xml:space="preserve">to </w:t>
      </w:r>
      <w:r w:rsidRPr="00092ACB">
        <w:rPr>
          <w:spacing w:val="-4"/>
        </w:rPr>
        <w:t xml:space="preserve">improve </w:t>
      </w:r>
      <w:r w:rsidRPr="00092ACB">
        <w:rPr>
          <w:spacing w:val="-3"/>
        </w:rPr>
        <w:t xml:space="preserve">health </w:t>
      </w:r>
      <w:r w:rsidRPr="00092ACB">
        <w:rPr>
          <w:spacing w:val="-4"/>
        </w:rPr>
        <w:t xml:space="preserve">outcomes </w:t>
      </w:r>
      <w:r w:rsidRPr="00092ACB">
        <w:rPr>
          <w:spacing w:val="-3"/>
        </w:rPr>
        <w:t xml:space="preserve">for </w:t>
      </w:r>
      <w:r w:rsidRPr="00092ACB">
        <w:rPr>
          <w:spacing w:val="-4"/>
        </w:rPr>
        <w:t xml:space="preserve">Aboriginal </w:t>
      </w:r>
      <w:r w:rsidRPr="00092ACB">
        <w:rPr>
          <w:spacing w:val="-3"/>
        </w:rPr>
        <w:t xml:space="preserve">and Torres </w:t>
      </w:r>
      <w:r w:rsidRPr="00092ACB">
        <w:rPr>
          <w:spacing w:val="-4"/>
        </w:rPr>
        <w:t>Strait Islander</w:t>
      </w:r>
      <w:r w:rsidRPr="00092ACB">
        <w:rPr>
          <w:spacing w:val="-13"/>
        </w:rPr>
        <w:t xml:space="preserve"> </w:t>
      </w:r>
      <w:r w:rsidRPr="00092ACB">
        <w:rPr>
          <w:spacing w:val="-4"/>
        </w:rPr>
        <w:t>peoples.</w:t>
      </w:r>
    </w:p>
    <w:p w14:paraId="745F6CA1" w14:textId="3B5D8F2A" w:rsidR="00DF3937" w:rsidRDefault="00570FE4" w:rsidP="00092ACB">
      <w:pPr>
        <w:pStyle w:val="ListParagraph"/>
        <w:widowControl/>
        <w:numPr>
          <w:ilvl w:val="0"/>
          <w:numId w:val="1"/>
        </w:numPr>
        <w:tabs>
          <w:tab w:val="num" w:pos="360"/>
        </w:tabs>
        <w:autoSpaceDE/>
        <w:autoSpaceDN/>
        <w:spacing w:before="240"/>
        <w:ind w:left="357" w:right="0" w:hanging="357"/>
      </w:pPr>
      <w:r>
        <w:t>A discussion paper has been developed to create a shared understanding about the health equity agenda</w:t>
      </w:r>
      <w:r w:rsidR="003E6ADA">
        <w:t>,</w:t>
      </w:r>
      <w:r>
        <w:t xml:space="preserve"> to drive change across the health system.</w:t>
      </w:r>
      <w:r w:rsidR="004D34C1">
        <w:t xml:space="preserve">  The </w:t>
      </w:r>
      <w:r w:rsidR="004D34C1" w:rsidRPr="004D34C1">
        <w:t>discussion paper outlines progress made since the release of the Health Equity Report in 2017</w:t>
      </w:r>
      <w:r w:rsidR="00303F2A">
        <w:t xml:space="preserve">, </w:t>
      </w:r>
      <w:r w:rsidR="00303F2A" w:rsidRPr="00303F2A">
        <w:t>informs the development of the</w:t>
      </w:r>
      <w:r w:rsidR="00833AFE">
        <w:t xml:space="preserve"> </w:t>
      </w:r>
      <w:r w:rsidR="00833AFE" w:rsidRPr="00833AFE">
        <w:t>First Nations Health Equity</w:t>
      </w:r>
      <w:r w:rsidR="00303F2A" w:rsidRPr="00303F2A">
        <w:t xml:space="preserve"> Framework</w:t>
      </w:r>
      <w:r w:rsidR="00303F2A">
        <w:t xml:space="preserve">, and </w:t>
      </w:r>
      <w:r w:rsidR="003E26F2">
        <w:t xml:space="preserve">includes </w:t>
      </w:r>
      <w:r w:rsidR="003E26F2" w:rsidRPr="003E26F2">
        <w:t>a wider discussion about other types of reforms and improvements needed across the health system and broader society to achieve health equity and life expectancy parity by 2031</w:t>
      </w:r>
      <w:r w:rsidR="004D34C1">
        <w:t>.</w:t>
      </w:r>
    </w:p>
    <w:p w14:paraId="3A0C99AC" w14:textId="3DB941E2" w:rsidR="0069478F" w:rsidRDefault="00833AFE" w:rsidP="00092ACB">
      <w:pPr>
        <w:pStyle w:val="ListParagraph"/>
        <w:widowControl/>
        <w:numPr>
          <w:ilvl w:val="0"/>
          <w:numId w:val="1"/>
        </w:numPr>
        <w:tabs>
          <w:tab w:val="num" w:pos="360"/>
        </w:tabs>
        <w:autoSpaceDE/>
        <w:autoSpaceDN/>
        <w:spacing w:before="240"/>
        <w:ind w:left="357" w:right="0" w:hanging="357"/>
      </w:pPr>
      <w:r w:rsidRPr="00092ACB">
        <w:rPr>
          <w:u w:val="single"/>
        </w:rPr>
        <w:t>Cabinet approved</w:t>
      </w:r>
      <w:r>
        <w:t xml:space="preserve"> the public release of the </w:t>
      </w:r>
      <w:r w:rsidRPr="00092ACB">
        <w:rPr>
          <w:i/>
        </w:rPr>
        <w:t xml:space="preserve">Making Tracks towards health equity with Aboriginal and Torres Strait Islander peoples—working together to achieve life expectancy parity by 2031 </w:t>
      </w:r>
      <w:r>
        <w:t>Discussion paper: a shared</w:t>
      </w:r>
      <w:r w:rsidRPr="00092ACB">
        <w:rPr>
          <w:spacing w:val="-3"/>
        </w:rPr>
        <w:t xml:space="preserve"> </w:t>
      </w:r>
      <w:r>
        <w:t>conversation</w:t>
      </w:r>
      <w:r w:rsidR="00092ACB">
        <w:t>.</w:t>
      </w:r>
    </w:p>
    <w:p w14:paraId="3A0C99AE" w14:textId="5C6639B5" w:rsidR="0069478F" w:rsidRPr="00092ACB" w:rsidRDefault="00833AFE" w:rsidP="00092ACB">
      <w:pPr>
        <w:pStyle w:val="ListParagraph"/>
        <w:widowControl/>
        <w:numPr>
          <w:ilvl w:val="0"/>
          <w:numId w:val="1"/>
        </w:numPr>
        <w:tabs>
          <w:tab w:val="num" w:pos="360"/>
        </w:tabs>
        <w:autoSpaceDE/>
        <w:autoSpaceDN/>
        <w:spacing w:before="360"/>
        <w:ind w:left="357" w:right="0" w:hanging="357"/>
      </w:pPr>
      <w:r w:rsidRPr="00092ACB">
        <w:rPr>
          <w:i/>
          <w:u w:val="single"/>
        </w:rPr>
        <w:t>Attachment</w:t>
      </w:r>
      <w:r w:rsidR="00092ACB">
        <w:rPr>
          <w:i/>
          <w:u w:val="single"/>
        </w:rPr>
        <w:t>s</w:t>
      </w:r>
      <w:r w:rsidR="00CC45ED">
        <w:rPr>
          <w:i/>
        </w:rPr>
        <w:t>:</w:t>
      </w:r>
    </w:p>
    <w:p w14:paraId="3A0C99AF" w14:textId="249B2352" w:rsidR="0069478F" w:rsidRDefault="009E3965" w:rsidP="00CC45ED">
      <w:pPr>
        <w:pStyle w:val="ListParagraph"/>
        <w:numPr>
          <w:ilvl w:val="1"/>
          <w:numId w:val="1"/>
        </w:numPr>
        <w:tabs>
          <w:tab w:val="left" w:pos="709"/>
        </w:tabs>
        <w:spacing w:before="120" w:line="238" w:lineRule="auto"/>
        <w:ind w:left="709" w:right="-139" w:hanging="284"/>
        <w:jc w:val="left"/>
      </w:pPr>
      <w:hyperlink r:id="rId10" w:history="1">
        <w:r w:rsidR="00833AFE" w:rsidRPr="004D3EF3">
          <w:rPr>
            <w:rStyle w:val="Hyperlink"/>
            <w:i/>
          </w:rPr>
          <w:t xml:space="preserve">Making Tracks towards health equity with Aboriginal and Torres Strait Islander peoples— working together to achieve life expectancy parity by 2031 </w:t>
        </w:r>
        <w:r w:rsidR="00833AFE" w:rsidRPr="004D3EF3">
          <w:rPr>
            <w:rStyle w:val="Hyperlink"/>
          </w:rPr>
          <w:t>Discussion paper: a shared conversation</w:t>
        </w:r>
      </w:hyperlink>
    </w:p>
    <w:sectPr w:rsidR="0069478F" w:rsidSect="00092ACB">
      <w:headerReference w:type="default" r:id="rId11"/>
      <w:type w:val="continuous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2021E" w14:textId="77777777" w:rsidR="00572B91" w:rsidRDefault="00572B91" w:rsidP="00946504">
      <w:r>
        <w:separator/>
      </w:r>
    </w:p>
  </w:endnote>
  <w:endnote w:type="continuationSeparator" w:id="0">
    <w:p w14:paraId="7312E73C" w14:textId="77777777" w:rsidR="00572B91" w:rsidRDefault="00572B91" w:rsidP="0094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3083B" w14:textId="77777777" w:rsidR="00572B91" w:rsidRDefault="00572B91" w:rsidP="00946504">
      <w:r>
        <w:separator/>
      </w:r>
    </w:p>
  </w:footnote>
  <w:footnote w:type="continuationSeparator" w:id="0">
    <w:p w14:paraId="48B1FAC0" w14:textId="77777777" w:rsidR="00572B91" w:rsidRDefault="00572B91" w:rsidP="00946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2577" w14:textId="77777777" w:rsidR="00946504" w:rsidRPr="00937A4A" w:rsidRDefault="00946504" w:rsidP="0094650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72122683" w14:textId="77777777" w:rsidR="00946504" w:rsidRPr="00937A4A" w:rsidRDefault="00946504" w:rsidP="0094650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3D5C5917" w14:textId="2F149E4B" w:rsidR="00946504" w:rsidRPr="00937A4A" w:rsidRDefault="00946504" w:rsidP="0094650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March 2021</w:t>
    </w:r>
  </w:p>
  <w:p w14:paraId="1AD2979B" w14:textId="6B991266" w:rsidR="00946504" w:rsidRDefault="00101E3E" w:rsidP="00946504">
    <w:pPr>
      <w:pStyle w:val="Header"/>
      <w:spacing w:before="120"/>
      <w:rPr>
        <w:b/>
        <w:u w:val="single"/>
      </w:rPr>
    </w:pPr>
    <w:r w:rsidRPr="00101E3E">
      <w:rPr>
        <w:b/>
        <w:u w:val="single"/>
      </w:rPr>
      <w:t>Making Tracks towards health equity with Aboriginal and Torres Strait Islander peoples - working together to achieve life expectancy parity by 2031 Discussion paper: a shared conversation</w:t>
    </w:r>
  </w:p>
  <w:p w14:paraId="1C0EDD64" w14:textId="1D22EE03" w:rsidR="00946504" w:rsidRDefault="00946504" w:rsidP="00946504">
    <w:pPr>
      <w:pStyle w:val="Header"/>
      <w:spacing w:before="120"/>
      <w:rPr>
        <w:b/>
        <w:u w:val="single"/>
      </w:rPr>
    </w:pPr>
    <w:r>
      <w:rPr>
        <w:b/>
        <w:u w:val="single"/>
      </w:rPr>
      <w:t>Minister</w:t>
    </w:r>
    <w:r w:rsidR="00101E3E">
      <w:rPr>
        <w:b/>
        <w:u w:val="single"/>
      </w:rPr>
      <w:t xml:space="preserve"> for Health and Ambulance Services</w:t>
    </w:r>
  </w:p>
  <w:p w14:paraId="01501522" w14:textId="77777777" w:rsidR="00946504" w:rsidRDefault="00946504" w:rsidP="00946504">
    <w:pPr>
      <w:pStyle w:val="Header"/>
      <w:pBdr>
        <w:bottom w:val="single" w:sz="4" w:space="1" w:color="auto"/>
      </w:pBdr>
    </w:pPr>
  </w:p>
  <w:p w14:paraId="4B875C81" w14:textId="77777777" w:rsidR="00946504" w:rsidRDefault="009465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5B48"/>
    <w:multiLevelType w:val="hybridMultilevel"/>
    <w:tmpl w:val="8F8C6AB2"/>
    <w:lvl w:ilvl="0" w:tplc="881C0FA2">
      <w:start w:val="1"/>
      <w:numFmt w:val="decimal"/>
      <w:lvlText w:val="%1."/>
      <w:lvlJc w:val="left"/>
      <w:pPr>
        <w:ind w:left="592" w:hanging="360"/>
      </w:pPr>
      <w:rPr>
        <w:rFonts w:ascii="Arial" w:eastAsia="Arial" w:hAnsi="Arial" w:cs="Arial" w:hint="default"/>
        <w:i w:val="0"/>
        <w:iCs/>
        <w:spacing w:val="-3"/>
        <w:w w:val="100"/>
        <w:sz w:val="22"/>
        <w:szCs w:val="22"/>
      </w:rPr>
    </w:lvl>
    <w:lvl w:ilvl="1" w:tplc="A60EDD3C">
      <w:numFmt w:val="bullet"/>
      <w:lvlText w:val=""/>
      <w:lvlJc w:val="left"/>
      <w:pPr>
        <w:ind w:left="952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C436EEF4">
      <w:numFmt w:val="bullet"/>
      <w:lvlText w:val="•"/>
      <w:lvlJc w:val="left"/>
      <w:pPr>
        <w:ind w:left="1974" w:hanging="361"/>
      </w:pPr>
      <w:rPr>
        <w:rFonts w:hint="default"/>
      </w:rPr>
    </w:lvl>
    <w:lvl w:ilvl="3" w:tplc="B164C256">
      <w:numFmt w:val="bullet"/>
      <w:lvlText w:val="•"/>
      <w:lvlJc w:val="left"/>
      <w:pPr>
        <w:ind w:left="2988" w:hanging="361"/>
      </w:pPr>
      <w:rPr>
        <w:rFonts w:hint="default"/>
      </w:rPr>
    </w:lvl>
    <w:lvl w:ilvl="4" w:tplc="11AA1DDC">
      <w:numFmt w:val="bullet"/>
      <w:lvlText w:val="•"/>
      <w:lvlJc w:val="left"/>
      <w:pPr>
        <w:ind w:left="4002" w:hanging="361"/>
      </w:pPr>
      <w:rPr>
        <w:rFonts w:hint="default"/>
      </w:rPr>
    </w:lvl>
    <w:lvl w:ilvl="5" w:tplc="E9725F90">
      <w:numFmt w:val="bullet"/>
      <w:lvlText w:val="•"/>
      <w:lvlJc w:val="left"/>
      <w:pPr>
        <w:ind w:left="5016" w:hanging="361"/>
      </w:pPr>
      <w:rPr>
        <w:rFonts w:hint="default"/>
      </w:rPr>
    </w:lvl>
    <w:lvl w:ilvl="6" w:tplc="6D549378">
      <w:numFmt w:val="bullet"/>
      <w:lvlText w:val="•"/>
      <w:lvlJc w:val="left"/>
      <w:pPr>
        <w:ind w:left="6030" w:hanging="361"/>
      </w:pPr>
      <w:rPr>
        <w:rFonts w:hint="default"/>
      </w:rPr>
    </w:lvl>
    <w:lvl w:ilvl="7" w:tplc="035E876E">
      <w:numFmt w:val="bullet"/>
      <w:lvlText w:val="•"/>
      <w:lvlJc w:val="left"/>
      <w:pPr>
        <w:ind w:left="7044" w:hanging="361"/>
      </w:pPr>
      <w:rPr>
        <w:rFonts w:hint="default"/>
      </w:rPr>
    </w:lvl>
    <w:lvl w:ilvl="8" w:tplc="217A8684">
      <w:numFmt w:val="bullet"/>
      <w:lvlText w:val="•"/>
      <w:lvlJc w:val="left"/>
      <w:pPr>
        <w:ind w:left="805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78F"/>
    <w:rsid w:val="0002439A"/>
    <w:rsid w:val="00092ACB"/>
    <w:rsid w:val="000B34FD"/>
    <w:rsid w:val="00101E3E"/>
    <w:rsid w:val="001C53C1"/>
    <w:rsid w:val="00303F2A"/>
    <w:rsid w:val="003B7BF5"/>
    <w:rsid w:val="003E26F2"/>
    <w:rsid w:val="003E6ADA"/>
    <w:rsid w:val="00443AC6"/>
    <w:rsid w:val="004D34C1"/>
    <w:rsid w:val="004D3EF3"/>
    <w:rsid w:val="00570FE4"/>
    <w:rsid w:val="00572B91"/>
    <w:rsid w:val="0061145B"/>
    <w:rsid w:val="00616B9C"/>
    <w:rsid w:val="0069478F"/>
    <w:rsid w:val="006D02DD"/>
    <w:rsid w:val="00833AFE"/>
    <w:rsid w:val="0088526F"/>
    <w:rsid w:val="00946504"/>
    <w:rsid w:val="009D2394"/>
    <w:rsid w:val="009E3965"/>
    <w:rsid w:val="00B038FF"/>
    <w:rsid w:val="00CC45ED"/>
    <w:rsid w:val="00DF3937"/>
    <w:rsid w:val="00E1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0C9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3"/>
      <w:ind w:left="232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592" w:right="2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852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6F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6B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B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6B9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6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50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46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50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Paper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3" ma:contentTypeDescription="Create a new document." ma:contentTypeScope="" ma:versionID="d2c6655f327bca39bbf0bc0ae0e25d00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b7c6d6aae292b57be4cbe67fbf66b5b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D1D27A-5125-4BFD-8A78-22DA32B076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34F808-11E5-4D9C-8393-986F75F6E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B1C5CE-9DB2-4038-B691-7EC225B43E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331</Words>
  <Characters>1914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Base>https://www.cabinet.qld.gov.au/documents/2021/Mar/MakingTracks/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22</cp:revision>
  <cp:lastPrinted>2021-09-15T07:22:00Z</cp:lastPrinted>
  <dcterms:created xsi:type="dcterms:W3CDTF">2021-03-02T05:42:00Z</dcterms:created>
  <dcterms:modified xsi:type="dcterms:W3CDTF">2022-02-07T00:49:00Z</dcterms:modified>
  <cp:category>Aboriginal_and_Torres_Strait_Islander,Health,Hospitals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2021-03-02T00:00:00Z</vt:filetime>
  </property>
  <property fmtid="{D5CDD505-2E9C-101B-9397-08002B2CF9AE}" pid="5" name="ContentTypeId">
    <vt:lpwstr>0x010100DDE14CFDD070B24F85F5DE43654FF01E</vt:lpwstr>
  </property>
</Properties>
</file>